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1134"/>
        <w:gridCol w:w="4672"/>
        <w:tblGridChange w:id="0">
          <w:tblGrid>
            <w:gridCol w:w="3539"/>
            <w:gridCol w:w="1134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03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Minimumskrav til kompetanse og erfaring (krav som må oppfylles)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Minimumskrav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Angivelse av erfaring i mnd/år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ha relevant utdanning på bachelornivå eller høyere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kommunisere godt på norsk både skriftlig og muntlig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ha minimum 5 års erfaring fra å jobbe med Java/Kotlin og Spring Boot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ha minimum 2 års erfaring fra å jobbe med React og TypeScript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ha erfaring fra smidig produktutvikling i tverrfaglige 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 må ha erfaring med API-er, mikrotjenester og eventdrevet arkitektur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i w:val="1"/>
                <w:iCs w:val="1"/>
                <w:highlight w:val="green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56"/>
        <w:gridCol w:w="1417"/>
        <w:gridCol w:w="4672"/>
        <w:tblGridChange w:id="0">
          <w:tblGrid>
            <w:gridCol w:w="3256"/>
            <w:gridCol w:w="1417"/>
            <w:gridCol w:w="467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1E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Kompetanse og erfaring utover minstekrav (legges til grunn for evaluering)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Krav til relevant erfaring/kompetanse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2">
            <w:pPr>
              <w:rPr>
                <w:b w:val="1"/>
                <w:bCs w:val="1"/>
                <w:highlight w:val="yellow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Angivelse av erfaring i mnd/år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Leverandørens besvarelse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 av relevant erfaring med dataintegrasjon, import-pipelines, datakvalitet eller validering av strukturerte data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 av relevant erfaring med NeTEx, Transmodel, SIRI, GTFS eller andre datastandarder innen kollektivtransport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 av relevant erfaring med skyplattformer, infrastruktur og sikkerhetsarkitektur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Grad av relevant erfaring med å jobbe i små team med stor grad av uavklarte behov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Konsulentens tilnærming til å dele kunnskap og støtte andre team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  <w:tr>
        <w:trPr>
          <w:cantSplit w:val="0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360" w:right="0" w:hanging="360"/>
              <w:jc w:val="left"/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Konsulentens evne til å bruke teknisk kompetanse til å forstå og løse underliggende forretnings- og brukerbehov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i w:val="1"/>
                <w:iCs w:val="1"/>
                <w:highlight w:val="yellow"/>
                <w:rtl w:val="0"/>
              </w:rPr>
              <w:t xml:space="preserve">Leverandørens besvarelse.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38" w:w="11899" w:orient="portrait"/>
      <w:pgMar w:bottom="1418" w:top="2127" w:left="1418" w:right="1126" w:header="426" w:footer="49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360" w:hanging="360"/>
      </w:pPr>
      <w:rPr>
        <w:rFonts w:ascii="Calibri" w:cs="Calibri" w:eastAsia="Calibri" w:hAnsi="Calibri"/>
        <w:b w:val="0"/>
        <w:b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18"/>
        <w:szCs w:val="18"/>
        <w:lang w:val="no"/>
      </w:rPr>
    </w:rPrDefault>
    <w:pPrDefault>
      <w:pPr>
        <w:spacing w:before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240" w:before="240" w:lineRule="auto"/>
    </w:pPr>
    <w:rPr>
      <w:smallCaps w:val="1"/>
      <w:color w:val="44515b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bCs w:val="1"/>
      <w:smallCaps w:val="1"/>
      <w:color w:val="44515b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b w:val="1"/>
      <w:bCs w:val="1"/>
      <w:smallCaps w:val="1"/>
      <w:color w:val="44515b"/>
    </w:rPr>
  </w:style>
  <w:style w:type="paragraph" w:styleId="Heading4">
    <w:name w:val="heading 4"/>
    <w:basedOn w:val="Normal"/>
    <w:next w:val="Normal"/>
    <w:pPr>
      <w:keepNext w:val="1"/>
      <w:keepLines w:val="1"/>
      <w:spacing w:before="200" w:lineRule="auto"/>
    </w:pPr>
    <w:rPr>
      <w:b w:val="1"/>
      <w:bCs w:val="1"/>
      <w:i w:val="1"/>
      <w:iCs w:val="1"/>
      <w:smallCaps w:val="1"/>
      <w:color w:val="44515b"/>
    </w:rPr>
  </w:style>
  <w:style w:type="paragraph" w:styleId="Heading5">
    <w:name w:val="heading 5"/>
    <w:basedOn w:val="Normal"/>
    <w:next w:val="Normal"/>
    <w:pPr>
      <w:keepNext w:val="1"/>
      <w:keepLines w:val="1"/>
      <w:spacing w:before="200" w:lineRule="auto"/>
    </w:pPr>
    <w:rPr>
      <w:smallCaps w:val="1"/>
      <w:color w:val="44515b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i w:val="1"/>
      <w:iCs w:val="1"/>
      <w:color w:val="44515b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before="0" w:lineRule="auto"/>
    </w:pPr>
    <w:rPr>
      <w:smallCaps w:val="1"/>
      <w:color w:val="44515b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iCs w:val="1"/>
      <w:color w:val="354047"/>
      <w:sz w:val="24"/>
      <w:szCs w:val="24"/>
    </w:rPr>
  </w:style>
  <w:style w:type="table" w:styleId="Table1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Arial" w:cs="Arial" w:eastAsia="Arial" w:hAnsi="Arial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5lXL/d1xspMeTy48PIMketU6DA==">CgMxLjA4AHIhMUlWZG9kWXBrSGlsZjB0OGJubmtaLVRIZVp6MlZFZkd5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0x0101000C9B8BD6CF990E46B5AAF7A4EE142A43</vt:lpwstr>
  </property>
  <property fmtid="{D5CDD505-2E9C-101B-9397-08002B2CF9AE}" pid="3" name="_dlc_DocIdItemGuid">
    <vt:lpwstr>81dfc663-b14f-4a67-98d0-b43b9d36d407</vt:lpwstr>
  </property>
  <property fmtid="{D5CDD505-2E9C-101B-9397-08002B2CF9AE}" pid="4" name="Order">
    <vt:lpwstr>1400</vt:lpwstr>
  </property>
  <property fmtid="{D5CDD505-2E9C-101B-9397-08002B2CF9AE}" pid="5" name="TaxCatchAll">
    <vt:lpwstr>TaxCatchAll</vt:lpwstr>
  </property>
  <property fmtid="{D5CDD505-2E9C-101B-9397-08002B2CF9AE}" pid="6" name="Styringssystem Dokumenttype">
    <vt:lpwstr>Mal</vt:lpwstr>
  </property>
  <property fmtid="{D5CDD505-2E9C-101B-9397-08002B2CF9AE}" pid="7" name="DStatus">
    <vt:lpwstr>Under arbeid</vt:lpwstr>
  </property>
  <property fmtid="{D5CDD505-2E9C-101B-9397-08002B2CF9AE}" pid="8" name="MediaServiceImageTags">
    <vt:lpwstr>MediaServiceImageTags</vt:lpwstr>
  </property>
</Properties>
</file>