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86CF3" w14:textId="2EF474D2" w:rsidR="0019006C" w:rsidRPr="0019006C" w:rsidRDefault="0019006C" w:rsidP="0019006C">
      <w:pPr>
        <w:pStyle w:val="Overskrift1"/>
        <w:spacing w:before="480"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Toc152596488"/>
      <w:r w:rsidRPr="0019006C">
        <w:rPr>
          <w:rFonts w:asciiTheme="minorHAnsi" w:hAnsiTheme="minorHAnsi" w:cstheme="minorHAnsi"/>
          <w:b/>
          <w:bCs/>
          <w:sz w:val="28"/>
          <w:szCs w:val="28"/>
        </w:rPr>
        <w:t>Vedlegg</w:t>
      </w:r>
      <w:r w:rsidRPr="005022EB">
        <w:t xml:space="preserve"> </w:t>
      </w:r>
      <w:r w:rsidRPr="0019006C">
        <w:rPr>
          <w:rFonts w:asciiTheme="minorHAnsi" w:hAnsiTheme="minorHAnsi" w:cstheme="minorHAnsi"/>
          <w:b/>
          <w:bCs/>
          <w:sz w:val="28"/>
          <w:szCs w:val="28"/>
        </w:rPr>
        <w:t xml:space="preserve">2 – </w:t>
      </w:r>
      <w:bookmarkEnd w:id="0"/>
      <w:r>
        <w:rPr>
          <w:rFonts w:asciiTheme="minorHAnsi" w:hAnsiTheme="minorHAnsi" w:cstheme="minorHAnsi"/>
          <w:b/>
          <w:bCs/>
          <w:sz w:val="28"/>
          <w:szCs w:val="28"/>
        </w:rPr>
        <w:t>Avvik og forbehold</w:t>
      </w:r>
    </w:p>
    <w:p w14:paraId="5EB86B5C" w14:textId="77777777" w:rsidR="0019006C" w:rsidRPr="005022EB" w:rsidRDefault="0019006C" w:rsidP="0019006C">
      <w:pPr>
        <w:pStyle w:val="Brdtekst"/>
      </w:pPr>
      <w:r w:rsidRPr="005022EB">
        <w:t xml:space="preserve"> </w:t>
      </w:r>
    </w:p>
    <w:p w14:paraId="63FB9464" w14:textId="7CDAE6B1" w:rsidR="0019006C" w:rsidRPr="005022EB" w:rsidRDefault="0019006C" w:rsidP="0019006C">
      <w:bookmarkStart w:id="1" w:name="_Hlk121150391"/>
      <w:r>
        <w:t>Leverandøren</w:t>
      </w:r>
      <w:r w:rsidRPr="005022EB">
        <w:t xml:space="preserve"> skal opplyse om eventuelle avvik fra og forbehold </w:t>
      </w:r>
      <w:r>
        <w:t>mot</w:t>
      </w:r>
      <w:r w:rsidRPr="005022EB">
        <w:t xml:space="preserve"> </w:t>
      </w:r>
      <w:r>
        <w:t>k</w:t>
      </w:r>
      <w:r w:rsidR="00E470F2">
        <w:t>onkurranse</w:t>
      </w:r>
      <w:r>
        <w:t>grunnlaget</w:t>
      </w:r>
      <w:r w:rsidRPr="005022EB">
        <w:t xml:space="preserve"> i tabellen nedenfor</w:t>
      </w:r>
      <w:bookmarkEnd w:id="1"/>
      <w:r w:rsidR="00E470F2">
        <w:t>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4267"/>
        <w:gridCol w:w="2977"/>
      </w:tblGrid>
      <w:tr w:rsidR="0019006C" w:rsidRPr="00A16F5F" w14:paraId="67FE33B1" w14:textId="77777777" w:rsidTr="0019006C">
        <w:trPr>
          <w:trHeight w:val="495"/>
        </w:trPr>
        <w:tc>
          <w:tcPr>
            <w:tcW w:w="1970" w:type="dxa"/>
          </w:tcPr>
          <w:p w14:paraId="4578B6B7" w14:textId="77777777" w:rsidR="0019006C" w:rsidRPr="005022EB" w:rsidRDefault="0019006C" w:rsidP="00F647CD">
            <w:pPr>
              <w:keepLines/>
              <w:rPr>
                <w:rFonts w:cs="Arial"/>
                <w:b/>
                <w:bCs/>
              </w:rPr>
            </w:pPr>
            <w:r w:rsidRPr="005022EB">
              <w:rPr>
                <w:rFonts w:cs="Arial"/>
                <w:b/>
                <w:bCs/>
              </w:rPr>
              <w:t xml:space="preserve">Referanse til </w:t>
            </w:r>
            <w:r>
              <w:rPr>
                <w:rFonts w:cs="Arial"/>
                <w:b/>
                <w:bCs/>
              </w:rPr>
              <w:t>konkurransegrunnlaget</w:t>
            </w:r>
            <w:r w:rsidRPr="005022EB">
              <w:rPr>
                <w:rFonts w:cs="Arial"/>
                <w:b/>
                <w:bCs/>
              </w:rPr>
              <w:t xml:space="preserve"> (f.eks. vedlegg/</w:t>
            </w:r>
            <w:r>
              <w:rPr>
                <w:rFonts w:cs="Arial"/>
                <w:b/>
                <w:bCs/>
              </w:rPr>
              <w:t>bilag</w:t>
            </w:r>
            <w:r w:rsidRPr="005022EB">
              <w:rPr>
                <w:rFonts w:cs="Arial"/>
                <w:b/>
                <w:bCs/>
              </w:rPr>
              <w:t>,</w:t>
            </w:r>
            <w:r>
              <w:rPr>
                <w:rFonts w:cs="Arial"/>
                <w:b/>
                <w:bCs/>
              </w:rPr>
              <w:t xml:space="preserve"> </w:t>
            </w:r>
            <w:r w:rsidRPr="005022EB">
              <w:rPr>
                <w:rFonts w:cs="Arial"/>
                <w:b/>
                <w:bCs/>
              </w:rPr>
              <w:t>avsnitt, underkapittel</w:t>
            </w:r>
            <w:r>
              <w:rPr>
                <w:rFonts w:cs="Arial"/>
                <w:b/>
                <w:bCs/>
              </w:rPr>
              <w:t xml:space="preserve"> </w:t>
            </w:r>
            <w:r w:rsidRPr="005022EB">
              <w:rPr>
                <w:rFonts w:cs="Arial"/>
                <w:b/>
                <w:bCs/>
              </w:rPr>
              <w:t xml:space="preserve">og </w:t>
            </w:r>
            <w:r>
              <w:rPr>
                <w:rFonts w:cs="Arial"/>
                <w:b/>
                <w:bCs/>
              </w:rPr>
              <w:t>punkt</w:t>
            </w:r>
            <w:r w:rsidRPr="005022EB">
              <w:rPr>
                <w:rFonts w:cs="Arial"/>
                <w:b/>
                <w:bCs/>
              </w:rPr>
              <w:t>):</w:t>
            </w:r>
          </w:p>
        </w:tc>
        <w:tc>
          <w:tcPr>
            <w:tcW w:w="4267" w:type="dxa"/>
          </w:tcPr>
          <w:p w14:paraId="43066405" w14:textId="77777777" w:rsidR="0019006C" w:rsidRPr="005022EB" w:rsidRDefault="0019006C" w:rsidP="00F647CD">
            <w:pPr>
              <w:keepLines/>
              <w:rPr>
                <w:rFonts w:cs="Arial"/>
                <w:b/>
                <w:bCs/>
              </w:rPr>
            </w:pPr>
            <w:r w:rsidRPr="005022EB">
              <w:rPr>
                <w:rFonts w:cs="Arial"/>
                <w:b/>
                <w:bCs/>
              </w:rPr>
              <w:t xml:space="preserve">Beskrivelse av avvik/forbehold </w:t>
            </w:r>
          </w:p>
        </w:tc>
        <w:tc>
          <w:tcPr>
            <w:tcW w:w="2977" w:type="dxa"/>
          </w:tcPr>
          <w:p w14:paraId="6737EFFA" w14:textId="77777777" w:rsidR="0019006C" w:rsidRPr="005022EB" w:rsidRDefault="0019006C" w:rsidP="00F647CD">
            <w:pPr>
              <w:keepLines/>
              <w:rPr>
                <w:rFonts w:cs="Arial"/>
                <w:b/>
                <w:bCs/>
              </w:rPr>
            </w:pPr>
            <w:r w:rsidRPr="005022EB">
              <w:rPr>
                <w:rFonts w:cs="Arial"/>
                <w:b/>
                <w:bCs/>
              </w:rPr>
              <w:t xml:space="preserve">Konsekvenser av avviket/forbeholdet for ytelse, pris og/eller andre faktorer: </w:t>
            </w:r>
          </w:p>
        </w:tc>
      </w:tr>
      <w:tr w:rsidR="0019006C" w:rsidRPr="00A16F5F" w14:paraId="733C73A2" w14:textId="77777777" w:rsidTr="0019006C">
        <w:trPr>
          <w:trHeight w:val="480"/>
        </w:trPr>
        <w:tc>
          <w:tcPr>
            <w:tcW w:w="1970" w:type="dxa"/>
          </w:tcPr>
          <w:p w14:paraId="1E120065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  <w:tc>
          <w:tcPr>
            <w:tcW w:w="4267" w:type="dxa"/>
          </w:tcPr>
          <w:p w14:paraId="33A5D62B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  <w:tc>
          <w:tcPr>
            <w:tcW w:w="2977" w:type="dxa"/>
          </w:tcPr>
          <w:p w14:paraId="7C16014A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</w:tr>
      <w:tr w:rsidR="0019006C" w:rsidRPr="00A16F5F" w14:paraId="6EF47C68" w14:textId="77777777" w:rsidTr="0019006C">
        <w:trPr>
          <w:trHeight w:val="495"/>
        </w:trPr>
        <w:tc>
          <w:tcPr>
            <w:tcW w:w="1970" w:type="dxa"/>
          </w:tcPr>
          <w:p w14:paraId="712D0283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  <w:tc>
          <w:tcPr>
            <w:tcW w:w="4267" w:type="dxa"/>
          </w:tcPr>
          <w:p w14:paraId="66C654BF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  <w:tc>
          <w:tcPr>
            <w:tcW w:w="2977" w:type="dxa"/>
          </w:tcPr>
          <w:p w14:paraId="61AE18A6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</w:tr>
      <w:tr w:rsidR="0019006C" w:rsidRPr="00A16F5F" w14:paraId="594C0D59" w14:textId="77777777" w:rsidTr="0019006C">
        <w:trPr>
          <w:trHeight w:val="495"/>
        </w:trPr>
        <w:tc>
          <w:tcPr>
            <w:tcW w:w="1970" w:type="dxa"/>
          </w:tcPr>
          <w:p w14:paraId="34559566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  <w:tc>
          <w:tcPr>
            <w:tcW w:w="4267" w:type="dxa"/>
          </w:tcPr>
          <w:p w14:paraId="52512805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  <w:tc>
          <w:tcPr>
            <w:tcW w:w="2977" w:type="dxa"/>
          </w:tcPr>
          <w:p w14:paraId="0E7929FA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</w:tr>
      <w:tr w:rsidR="0019006C" w:rsidRPr="00A16F5F" w14:paraId="24BE8027" w14:textId="77777777" w:rsidTr="0019006C">
        <w:trPr>
          <w:trHeight w:val="495"/>
        </w:trPr>
        <w:tc>
          <w:tcPr>
            <w:tcW w:w="1970" w:type="dxa"/>
          </w:tcPr>
          <w:p w14:paraId="55A8EBA5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  <w:tc>
          <w:tcPr>
            <w:tcW w:w="4267" w:type="dxa"/>
          </w:tcPr>
          <w:p w14:paraId="4C64EA63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  <w:tc>
          <w:tcPr>
            <w:tcW w:w="2977" w:type="dxa"/>
          </w:tcPr>
          <w:p w14:paraId="5680C2D0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</w:tr>
      <w:tr w:rsidR="0019006C" w:rsidRPr="00A16F5F" w14:paraId="4FC52C7A" w14:textId="77777777" w:rsidTr="0019006C">
        <w:trPr>
          <w:trHeight w:val="495"/>
        </w:trPr>
        <w:tc>
          <w:tcPr>
            <w:tcW w:w="1970" w:type="dxa"/>
          </w:tcPr>
          <w:p w14:paraId="3B4722CC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  <w:tc>
          <w:tcPr>
            <w:tcW w:w="4267" w:type="dxa"/>
          </w:tcPr>
          <w:p w14:paraId="330EC2A7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  <w:tc>
          <w:tcPr>
            <w:tcW w:w="2977" w:type="dxa"/>
          </w:tcPr>
          <w:p w14:paraId="584E52A3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</w:tr>
      <w:tr w:rsidR="0019006C" w:rsidRPr="00A16F5F" w14:paraId="7CC7C62D" w14:textId="77777777" w:rsidTr="0019006C">
        <w:trPr>
          <w:trHeight w:val="495"/>
        </w:trPr>
        <w:tc>
          <w:tcPr>
            <w:tcW w:w="1970" w:type="dxa"/>
          </w:tcPr>
          <w:p w14:paraId="5A48286C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  <w:tc>
          <w:tcPr>
            <w:tcW w:w="4267" w:type="dxa"/>
          </w:tcPr>
          <w:p w14:paraId="1D43AADA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  <w:tc>
          <w:tcPr>
            <w:tcW w:w="2977" w:type="dxa"/>
          </w:tcPr>
          <w:p w14:paraId="47FE2B16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</w:tr>
      <w:tr w:rsidR="0019006C" w:rsidRPr="00A16F5F" w14:paraId="540CD83C" w14:textId="77777777" w:rsidTr="0019006C">
        <w:trPr>
          <w:trHeight w:val="495"/>
        </w:trPr>
        <w:tc>
          <w:tcPr>
            <w:tcW w:w="1970" w:type="dxa"/>
          </w:tcPr>
          <w:p w14:paraId="170AAEBA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  <w:tc>
          <w:tcPr>
            <w:tcW w:w="4267" w:type="dxa"/>
          </w:tcPr>
          <w:p w14:paraId="0FDDCB26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  <w:tc>
          <w:tcPr>
            <w:tcW w:w="2977" w:type="dxa"/>
          </w:tcPr>
          <w:p w14:paraId="4AC71F69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</w:tr>
      <w:tr w:rsidR="0019006C" w:rsidRPr="00A16F5F" w14:paraId="65566EBE" w14:textId="77777777" w:rsidTr="0019006C">
        <w:trPr>
          <w:trHeight w:val="495"/>
        </w:trPr>
        <w:tc>
          <w:tcPr>
            <w:tcW w:w="1970" w:type="dxa"/>
          </w:tcPr>
          <w:p w14:paraId="0BD04E84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  <w:tc>
          <w:tcPr>
            <w:tcW w:w="4267" w:type="dxa"/>
          </w:tcPr>
          <w:p w14:paraId="5160D3D3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  <w:tc>
          <w:tcPr>
            <w:tcW w:w="2977" w:type="dxa"/>
          </w:tcPr>
          <w:p w14:paraId="0AAB367F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</w:tr>
      <w:tr w:rsidR="0019006C" w:rsidRPr="00A16F5F" w14:paraId="212EE0EF" w14:textId="77777777" w:rsidTr="0019006C">
        <w:trPr>
          <w:trHeight w:val="495"/>
        </w:trPr>
        <w:tc>
          <w:tcPr>
            <w:tcW w:w="1970" w:type="dxa"/>
          </w:tcPr>
          <w:p w14:paraId="3FE3493D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  <w:tc>
          <w:tcPr>
            <w:tcW w:w="4267" w:type="dxa"/>
          </w:tcPr>
          <w:p w14:paraId="0D7D7750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  <w:tc>
          <w:tcPr>
            <w:tcW w:w="2977" w:type="dxa"/>
          </w:tcPr>
          <w:p w14:paraId="2156FCD9" w14:textId="77777777" w:rsidR="0019006C" w:rsidRPr="005022EB" w:rsidRDefault="0019006C" w:rsidP="00F647CD">
            <w:pPr>
              <w:keepLines/>
              <w:rPr>
                <w:rFonts w:cs="Arial"/>
              </w:rPr>
            </w:pPr>
          </w:p>
        </w:tc>
      </w:tr>
    </w:tbl>
    <w:p w14:paraId="4452828E" w14:textId="77777777" w:rsidR="001D27BD" w:rsidRDefault="001D27BD"/>
    <w:sectPr w:rsidR="001D27BD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CCDA3" w14:textId="77777777" w:rsidR="004028BC" w:rsidRDefault="004028BC" w:rsidP="005A306B">
      <w:pPr>
        <w:spacing w:after="0" w:line="240" w:lineRule="auto"/>
      </w:pPr>
      <w:r>
        <w:separator/>
      </w:r>
    </w:p>
  </w:endnote>
  <w:endnote w:type="continuationSeparator" w:id="0">
    <w:p w14:paraId="16FB19BF" w14:textId="77777777" w:rsidR="004028BC" w:rsidRDefault="004028BC" w:rsidP="005A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EC9E" w14:textId="0775EDE5" w:rsidR="00010298" w:rsidRDefault="00010298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342443" wp14:editId="605B5F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205990" cy="357505"/>
              <wp:effectExtent l="0" t="0" r="3810" b="0"/>
              <wp:wrapNone/>
              <wp:docPr id="1729877747" name="Tekstboks 2" descr="TJENSTLIG iht. Sikkerhetsdirektivet pkt. 4.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59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BF9C9" w14:textId="0EFA5CC7" w:rsidR="00010298" w:rsidRPr="00010298" w:rsidRDefault="00010298" w:rsidP="0001029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1029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TJENSTLIG iht. Sikkerhetsdirektivet pkt. 4.2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42443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TJENSTLIG iht. Sikkerhetsdirektivet pkt. 4.2" style="position:absolute;margin-left:0;margin-top:0;width:173.7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" filled="f" stroked="f">
              <v:textbox style="mso-fit-shape-to-text:t" inset="0,0,0,15pt">
                <w:txbxContent>
                  <w:p w14:paraId="428BF9C9" w14:textId="0EFA5CC7" w:rsidR="00010298" w:rsidRPr="00010298" w:rsidRDefault="00010298" w:rsidP="0001029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01029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TJENSTLIG iht. Sikkerhetsdirektivet pkt. 4.2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065D" w14:textId="2587A5A9" w:rsidR="00010298" w:rsidRDefault="00010298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EB1D1C" wp14:editId="30DE716A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205990" cy="357505"/>
              <wp:effectExtent l="0" t="0" r="3810" b="0"/>
              <wp:wrapNone/>
              <wp:docPr id="1895863209" name="Tekstboks 3" descr="TJENSTLIG iht. Sikkerhetsdirektivet pkt. 4.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59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EFFBA" w14:textId="2A858339" w:rsidR="00010298" w:rsidRPr="00010298" w:rsidRDefault="00010298" w:rsidP="0001029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1029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TJENSTLIG iht. Sikkerhetsdirektivet pkt. 4.2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B1D1C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TJENSTLIG iht. Sikkerhetsdirektivet pkt. 4.2" style="position:absolute;margin-left:0;margin-top:0;width:173.7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" filled="f" stroked="f">
              <v:textbox style="mso-fit-shape-to-text:t" inset="0,0,0,15pt">
                <w:txbxContent>
                  <w:p w14:paraId="6F5EFFBA" w14:textId="2A858339" w:rsidR="00010298" w:rsidRPr="00010298" w:rsidRDefault="00010298" w:rsidP="0001029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01029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TJENSTLIG iht. Sikkerhetsdirektivet pkt. 4.2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3216" w14:textId="4CB9CEF3" w:rsidR="00010298" w:rsidRDefault="00010298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4511CD" wp14:editId="2C51E3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205990" cy="357505"/>
              <wp:effectExtent l="0" t="0" r="3810" b="0"/>
              <wp:wrapNone/>
              <wp:docPr id="49126093" name="Tekstboks 1" descr="TJENSTLIG iht. Sikkerhetsdirektivet pkt. 4.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599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167AE" w14:textId="2843513C" w:rsidR="00010298" w:rsidRPr="00010298" w:rsidRDefault="00010298" w:rsidP="0001029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01029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TJENSTLIG iht. Sikkerhetsdirektivet pkt. 4.2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511CD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TJENSTLIG iht. Sikkerhetsdirektivet pkt. 4.2" style="position:absolute;margin-left:0;margin-top:0;width:173.7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" filled="f" stroked="f">
              <v:textbox style="mso-fit-shape-to-text:t" inset="0,0,0,15pt">
                <w:txbxContent>
                  <w:p w14:paraId="1F9167AE" w14:textId="2843513C" w:rsidR="00010298" w:rsidRPr="00010298" w:rsidRDefault="00010298" w:rsidP="0001029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01029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TJENSTLIG iht. Sikkerhetsdirektivet pkt. 4.2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9C27D" w14:textId="77777777" w:rsidR="004028BC" w:rsidRDefault="004028BC" w:rsidP="005A306B">
      <w:pPr>
        <w:spacing w:after="0" w:line="240" w:lineRule="auto"/>
      </w:pPr>
      <w:r>
        <w:separator/>
      </w:r>
    </w:p>
  </w:footnote>
  <w:footnote w:type="continuationSeparator" w:id="0">
    <w:p w14:paraId="70C783DD" w14:textId="77777777" w:rsidR="004028BC" w:rsidRDefault="004028BC" w:rsidP="005A3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4579D" w14:textId="581DC72E" w:rsidR="00AD242E" w:rsidRDefault="00AD242E">
    <w:pPr>
      <w:pStyle w:val="Topptekst"/>
    </w:pPr>
    <w:r>
      <w:t>Vedlegg 2 – Avvik og forbehold</w:t>
    </w:r>
    <w:r w:rsidRPr="00B3466B">
      <w:tab/>
    </w:r>
    <w:r w:rsidRPr="00B3466B">
      <w:tab/>
      <w:t xml:space="preserve">Side </w:t>
    </w:r>
    <w:r w:rsidRPr="00B3466B">
      <w:fldChar w:fldCharType="begin"/>
    </w:r>
    <w:r w:rsidRPr="00B3466B">
      <w:instrText>PAGE  \* Arabic  \* MERGEFORMAT</w:instrText>
    </w:r>
    <w:r w:rsidRPr="00B3466B">
      <w:fldChar w:fldCharType="separate"/>
    </w:r>
    <w:r>
      <w:t>1</w:t>
    </w:r>
    <w:r w:rsidRPr="00B3466B">
      <w:fldChar w:fldCharType="end"/>
    </w:r>
    <w:r w:rsidRPr="00B3466B">
      <w:t xml:space="preserve"> av </w:t>
    </w:r>
    <w:fldSimple w:instr="NUMPAGES  \* Arabic  \* MERGEFORMAT">
      <w:r>
        <w:t>1</w:t>
      </w:r>
    </w:fldSimple>
    <w:bookmarkStart w:id="2" w:name="_Toc441227320"/>
    <w:bookmarkStart w:id="3" w:name="_Toc48271185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6C"/>
    <w:rsid w:val="00010298"/>
    <w:rsid w:val="001376B8"/>
    <w:rsid w:val="00160704"/>
    <w:rsid w:val="0019006C"/>
    <w:rsid w:val="001D27BD"/>
    <w:rsid w:val="00217665"/>
    <w:rsid w:val="00291FC6"/>
    <w:rsid w:val="00385360"/>
    <w:rsid w:val="003879D2"/>
    <w:rsid w:val="004028BC"/>
    <w:rsid w:val="005A306B"/>
    <w:rsid w:val="00707F05"/>
    <w:rsid w:val="0083423D"/>
    <w:rsid w:val="009B6146"/>
    <w:rsid w:val="00AD242E"/>
    <w:rsid w:val="00B32E24"/>
    <w:rsid w:val="00B664D4"/>
    <w:rsid w:val="00BD7BC3"/>
    <w:rsid w:val="00BE50F7"/>
    <w:rsid w:val="00C862D0"/>
    <w:rsid w:val="00DA44F2"/>
    <w:rsid w:val="00DA4908"/>
    <w:rsid w:val="00E3036D"/>
    <w:rsid w:val="00E470F2"/>
    <w:rsid w:val="00EB7B54"/>
    <w:rsid w:val="00F35F62"/>
    <w:rsid w:val="00F6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4B0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06C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90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nhideWhenUsed/>
    <w:qFormat/>
    <w:rsid w:val="00190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nhideWhenUsed/>
    <w:qFormat/>
    <w:rsid w:val="00190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nhideWhenUsed/>
    <w:qFormat/>
    <w:rsid w:val="00190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aliases w:val="H5,Heading 5 - Mandatory requirements,Heading 5(unused),ITT,ITT-instruction,Level 3 - (i),Req. Parent/independent,Requirement,Response Type,Response Type1,Response Type2,Third Level Heading,ergo.....,h5,heading 5,paragraphe[2],Überschrift 5"/>
    <w:basedOn w:val="Normal"/>
    <w:next w:val="Normal"/>
    <w:link w:val="Overskrift5Tegn"/>
    <w:unhideWhenUsed/>
    <w:qFormat/>
    <w:rsid w:val="00190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nhideWhenUsed/>
    <w:qFormat/>
    <w:rsid w:val="00190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nhideWhenUsed/>
    <w:qFormat/>
    <w:rsid w:val="00190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nhideWhenUsed/>
    <w:qFormat/>
    <w:rsid w:val="00190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nhideWhenUsed/>
    <w:qFormat/>
    <w:rsid w:val="00190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90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90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90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9006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aliases w:val="H5 Tegn,Heading 5 - Mandatory requirements Tegn,Heading 5(unused) Tegn,ITT Tegn,ITT-instruction Tegn,Level 3 - (i) Tegn,Req. Parent/independent Tegn,Requirement Tegn,Response Type Tegn,Response Type1 Tegn,Response Type2 Tegn,h5 Tegn"/>
    <w:basedOn w:val="Standardskriftforavsnitt"/>
    <w:link w:val="Overskrift5"/>
    <w:uiPriority w:val="9"/>
    <w:semiHidden/>
    <w:rsid w:val="0019006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9006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9006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9006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9006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90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90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90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90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90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9006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9006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9006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90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9006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9006C"/>
    <w:rPr>
      <w:b/>
      <w:bCs/>
      <w:smallCaps/>
      <w:color w:val="0F4761" w:themeColor="accent1" w:themeShade="BF"/>
      <w:spacing w:val="5"/>
    </w:rPr>
  </w:style>
  <w:style w:type="paragraph" w:styleId="Brdtekst">
    <w:name w:val="Body Text"/>
    <w:basedOn w:val="Normal"/>
    <w:next w:val="Normal"/>
    <w:link w:val="BrdtekstTegn"/>
    <w:rsid w:val="0019006C"/>
    <w:pPr>
      <w:spacing w:before="60" w:after="60" w:line="240" w:lineRule="auto"/>
    </w:pPr>
    <w:rPr>
      <w:rFonts w:ascii="Myriad Pro" w:eastAsia="Times New Roman" w:hAnsi="Myriad Pro" w:cs="Times New Roman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rsid w:val="0019006C"/>
    <w:rPr>
      <w:rFonts w:ascii="Myriad Pro" w:eastAsia="Times New Roman" w:hAnsi="Myriad Pro" w:cs="Times New Roman"/>
      <w:kern w:val="0"/>
      <w:sz w:val="22"/>
      <w:szCs w:val="20"/>
      <w:lang w:eastAsia="nb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5A3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306B"/>
    <w:rPr>
      <w:kern w:val="0"/>
      <w:sz w:val="22"/>
      <w:szCs w:val="22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5A3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306B"/>
    <w:rPr>
      <w:kern w:val="0"/>
      <w:sz w:val="22"/>
      <w:szCs w:val="22"/>
      <w14:ligatures w14:val="none"/>
    </w:rPr>
  </w:style>
  <w:style w:type="paragraph" w:styleId="Revisjon">
    <w:name w:val="Revision"/>
    <w:hidden/>
    <w:uiPriority w:val="99"/>
    <w:semiHidden/>
    <w:rsid w:val="0001029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58E5763C21584B88B2DF9323BDA96F" ma:contentTypeVersion="3" ma:contentTypeDescription="Opprett et nytt dokument." ma:contentTypeScope="" ma:versionID="b6472a555675a8548096653dccb474a7">
  <xsd:schema xmlns:xsd="http://www.w3.org/2001/XMLSchema" xmlns:xs="http://www.w3.org/2001/XMLSchema" xmlns:p="http://schemas.microsoft.com/office/2006/metadata/properties" xmlns:ns2="d3b05ba9-ef4e-42aa-b537-848a4012887d" targetNamespace="http://schemas.microsoft.com/office/2006/metadata/properties" ma:root="true" ma:fieldsID="015c330b37e50c52c37a1f4274b2abd4" ns2:_="">
    <xsd:import namespace="d3b05ba9-ef4e-42aa-b537-848a40128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05ba9-ef4e-42aa-b537-848a40128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BA6DEE-A9D7-49D0-BD90-7C5394488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b05ba9-ef4e-42aa-b537-848a40128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8C97F6-7AD3-4105-A575-F0DA3B1366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5CD90C-656F-43E0-924D-13F3BF08D9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2025-12-01T12:50:00Z</dcterms:created>
  <dcterms:modified xsi:type="dcterms:W3CDTF">2025-12-04T16:46:00Z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0x010100BA58E5763C21584B88B2DF9323BDA96F</vt:lpwstr>
  </property>
  <property fmtid="{D5CDD505-2E9C-101B-9397-08002B2CF9AE}" pid="3" name="ClassificationContentMarkingFooterShapeIds">
    <vt:lpwstr>2ed9acd,671bd6f3,710093a9</vt:lpwstr>
  </property>
  <property fmtid="{D5CDD505-2E9C-101B-9397-08002B2CF9AE}" pid="4" name="ClassificationContentMarkingFooterFontProps">
    <vt:lpwstr>#008000,10,Calibri</vt:lpwstr>
  </property>
  <property fmtid="{D5CDD505-2E9C-101B-9397-08002B2CF9AE}" pid="5" name="ClassificationContentMarkingFooterText">
    <vt:lpwstr>TJENSTLIG iht. Sikkerhetsdirektivet pkt. 4.2</vt:lpwstr>
  </property>
  <property fmtid="{D5CDD505-2E9C-101B-9397-08002B2CF9AE}" pid="6" name="MSIP_Label_69f30758-5b21-467d-9fd3-143ceca0b6d3_Enabled">
    <vt:lpwstr>true</vt:lpwstr>
  </property>
  <property fmtid="{D5CDD505-2E9C-101B-9397-08002B2CF9AE}" pid="7" name="MSIP_Label_69f30758-5b21-467d-9fd3-143ceca0b6d3_SetDate">
    <vt:lpwstr>2025-10-06T11:17:10Z</vt:lpwstr>
  </property>
  <property fmtid="{D5CDD505-2E9C-101B-9397-08002B2CF9AE}" pid="8" name="MSIP_Label_69f30758-5b21-467d-9fd3-143ceca0b6d3_Method">
    <vt:lpwstr>Privileged</vt:lpwstr>
  </property>
  <property fmtid="{D5CDD505-2E9C-101B-9397-08002B2CF9AE}" pid="9" name="MSIP_Label_69f30758-5b21-467d-9fd3-143ceca0b6d3_Name">
    <vt:lpwstr>Tjenstlig</vt:lpwstr>
  </property>
  <property fmtid="{D5CDD505-2E9C-101B-9397-08002B2CF9AE}" pid="10" name="MSIP_Label_69f30758-5b21-467d-9fd3-143ceca0b6d3_SiteId">
    <vt:lpwstr>1e0e6195-b5ec-427a-9cc1-db95904592f9</vt:lpwstr>
  </property>
  <property fmtid="{D5CDD505-2E9C-101B-9397-08002B2CF9AE}" pid="11" name="MSIP_Label_69f30758-5b21-467d-9fd3-143ceca0b6d3_ActionId">
    <vt:lpwstr>a197e5ce-2e5e-42c5-9aa4-a256cb5111a9</vt:lpwstr>
  </property>
  <property fmtid="{D5CDD505-2E9C-101B-9397-08002B2CF9AE}" pid="12" name="MSIP_Label_69f30758-5b21-467d-9fd3-143ceca0b6d3_ContentBits">
    <vt:lpwstr>2</vt:lpwstr>
  </property>
  <property fmtid="{D5CDD505-2E9C-101B-9397-08002B2CF9AE}" pid="13" name="MSIP_Label_69f30758-5b21-467d-9fd3-143ceca0b6d3_Tag">
    <vt:lpwstr>10, 0, 1, 1</vt:lpwstr>
  </property>
</Properties>
</file>